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36D2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00" w:lineRule="exact"/>
        <w:ind w:left="0" w:leftChars="0" w:right="0" w:firstLine="0" w:firstLineChars="0"/>
        <w:jc w:val="center"/>
        <w:textAlignment w:val="auto"/>
        <w:rPr>
          <w:rFonts w:hint="eastAsia" w:ascii="Times New Roman" w:hAnsi="Times New Roman" w:eastAsia="宋体" w:cs="Times New Roman"/>
          <w:b/>
          <w:bCs w:val="0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8"/>
          <w:szCs w:val="28"/>
          <w:lang w:eastAsia="zh-CN"/>
        </w:rPr>
        <w:t>暂停</w:t>
      </w:r>
      <w:r>
        <w:rPr>
          <w:rFonts w:hint="eastAsia" w:ascii="Times New Roman" w:hAnsi="Times New Roman" w:eastAsia="宋体" w:cs="Times New Roman"/>
          <w:b/>
          <w:bCs w:val="0"/>
          <w:kern w:val="2"/>
          <w:sz w:val="28"/>
          <w:szCs w:val="28"/>
          <w:lang w:val="en-US" w:eastAsia="zh-CN"/>
        </w:rPr>
        <w:t>/终止研究报告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7423"/>
      </w:tblGrid>
      <w:tr w14:paraId="2AAA6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22" w:type="pct"/>
            <w:vAlign w:val="center"/>
          </w:tcPr>
          <w:p w14:paraId="75BA1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hint="eastAsia" w:ascii="Times New Roman" w:hAnsi="宋体" w:eastAsia="宋体"/>
                <w:kern w:val="2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3877" w:type="pct"/>
            <w:vAlign w:val="center"/>
          </w:tcPr>
          <w:p w14:paraId="704D4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</w:p>
        </w:tc>
      </w:tr>
      <w:tr w14:paraId="176AE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22" w:type="pct"/>
            <w:vAlign w:val="center"/>
          </w:tcPr>
          <w:p w14:paraId="39621F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项目来源</w:t>
            </w:r>
          </w:p>
        </w:tc>
        <w:tc>
          <w:tcPr>
            <w:tcW w:w="3877" w:type="pct"/>
            <w:vAlign w:val="center"/>
          </w:tcPr>
          <w:p w14:paraId="7D9F1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</w:p>
        </w:tc>
      </w:tr>
      <w:tr w14:paraId="12DFD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22" w:type="pct"/>
            <w:vAlign w:val="center"/>
          </w:tcPr>
          <w:p w14:paraId="7C743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研究者</w:t>
            </w:r>
          </w:p>
        </w:tc>
        <w:tc>
          <w:tcPr>
            <w:tcW w:w="3877" w:type="pct"/>
            <w:vAlign w:val="center"/>
          </w:tcPr>
          <w:p w14:paraId="79AB7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</w:p>
        </w:tc>
      </w:tr>
      <w:tr w14:paraId="2A40F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22" w:type="pct"/>
            <w:vAlign w:val="center"/>
          </w:tcPr>
          <w:p w14:paraId="7C74E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专业科室</w:t>
            </w:r>
          </w:p>
        </w:tc>
        <w:tc>
          <w:tcPr>
            <w:tcW w:w="3877" w:type="pct"/>
            <w:vAlign w:val="center"/>
          </w:tcPr>
          <w:p w14:paraId="2107A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</w:p>
        </w:tc>
      </w:tr>
    </w:tbl>
    <w:p w14:paraId="77B8B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hAnsi="宋体"/>
          <w:kern w:val="2"/>
          <w:sz w:val="21"/>
          <w:szCs w:val="21"/>
          <w:lang w:eastAsia="zh-CN"/>
        </w:rPr>
      </w:pPr>
    </w:p>
    <w:p w14:paraId="3587C68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hAnsi="宋体"/>
          <w:b/>
          <w:bCs/>
          <w:kern w:val="2"/>
          <w:sz w:val="21"/>
          <w:szCs w:val="21"/>
          <w:lang w:eastAsia="zh-CN"/>
        </w:rPr>
      </w:pPr>
      <w:r>
        <w:rPr>
          <w:rFonts w:hint="eastAsia" w:hAnsi="宋体"/>
          <w:b/>
          <w:bCs/>
          <w:kern w:val="2"/>
          <w:sz w:val="21"/>
          <w:szCs w:val="21"/>
          <w:lang w:val="en-US" w:eastAsia="zh-CN"/>
        </w:rPr>
        <w:t>一、</w:t>
      </w:r>
      <w:r>
        <w:rPr>
          <w:rFonts w:hint="eastAsia" w:hAnsi="宋体"/>
          <w:b/>
          <w:bCs/>
          <w:kern w:val="2"/>
          <w:sz w:val="21"/>
          <w:szCs w:val="21"/>
          <w:lang w:eastAsia="zh-CN"/>
        </w:rPr>
        <w:t>一般信息</w:t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8306"/>
      </w:tblGrid>
      <w:tr w14:paraId="1317D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422B5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color w:val="000000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</w:p>
        </w:tc>
        <w:tc>
          <w:tcPr>
            <w:tcW w:w="4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39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Times New Roman" w:hAnsi="Times New Roman" w:eastAsia="宋体"/>
                <w:b w:val="0"/>
                <w:color w:val="000000"/>
                <w:kern w:val="2"/>
                <w:szCs w:val="21"/>
                <w:u w:val="none" w:color="auto"/>
              </w:rPr>
            </w:pPr>
            <w:r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eastAsia="zh-CN"/>
              </w:rPr>
              <w:t>申办者提出：</w:t>
            </w:r>
            <w:r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eastAsia="zh-CN"/>
              </w:rPr>
              <w:t>暂停研究，</w:t>
            </w:r>
            <w:r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eastAsia="zh-CN"/>
              </w:rPr>
              <w:t>终止研究</w:t>
            </w:r>
          </w:p>
        </w:tc>
      </w:tr>
      <w:tr w14:paraId="76F4F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C2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color w:val="000000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</w:p>
        </w:tc>
        <w:tc>
          <w:tcPr>
            <w:tcW w:w="4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06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eastAsia="zh-CN"/>
              </w:rPr>
              <w:t>研究者提出：</w:t>
            </w:r>
            <w:r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eastAsia="zh-CN"/>
              </w:rPr>
              <w:t>暂停研究，</w:t>
            </w:r>
            <w:r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b w:val="0"/>
                <w:color w:val="000000"/>
                <w:kern w:val="2"/>
                <w:sz w:val="21"/>
                <w:szCs w:val="21"/>
                <w:lang w:eastAsia="zh-CN"/>
              </w:rPr>
              <w:t>终止研究</w:t>
            </w:r>
          </w:p>
        </w:tc>
      </w:tr>
    </w:tbl>
    <w:p w14:paraId="75DD71C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hAnsi="宋体"/>
          <w:kern w:val="2"/>
          <w:sz w:val="21"/>
          <w:szCs w:val="21"/>
          <w:lang w:eastAsia="zh-CN"/>
        </w:rPr>
      </w:pPr>
    </w:p>
    <w:p w14:paraId="121FFB7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0" w:leftChars="0" w:right="0" w:firstLine="0" w:firstLineChars="0"/>
        <w:jc w:val="center"/>
        <w:textAlignment w:val="auto"/>
        <w:rPr>
          <w:rFonts w:hint="eastAsia" w:ascii="Times New Roman" w:hAnsi="Times New Roman" w:eastAsia="宋体" w:cs="Times New Roman"/>
          <w:b/>
          <w:bCs w:val="0"/>
          <w:kern w:val="2"/>
          <w:sz w:val="28"/>
          <w:szCs w:val="28"/>
          <w:lang w:eastAsia="zh-CN"/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8309"/>
      </w:tblGrid>
      <w:tr w14:paraId="3FACD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2" w:type="dxa"/>
            <w:vAlign w:val="center"/>
          </w:tcPr>
          <w:p w14:paraId="28723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</w:p>
        </w:tc>
        <w:tc>
          <w:tcPr>
            <w:tcW w:w="8309" w:type="dxa"/>
            <w:vAlign w:val="center"/>
          </w:tcPr>
          <w:p w14:paraId="10DB2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Times New Roman" w:hAnsi="Times New Roman" w:eastAsia="宋体"/>
                <w:kern w:val="2"/>
                <w:szCs w:val="21"/>
                <w:u w:val="none" w:color="auto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停止纳入新的受试者，在研的受试者继续完成研究干预和随访</w:t>
            </w:r>
          </w:p>
        </w:tc>
      </w:tr>
      <w:tr w14:paraId="737F6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2" w:type="dxa"/>
            <w:vAlign w:val="center"/>
          </w:tcPr>
          <w:p w14:paraId="65AE9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</w:p>
        </w:tc>
        <w:tc>
          <w:tcPr>
            <w:tcW w:w="8309" w:type="dxa"/>
            <w:vAlign w:val="center"/>
          </w:tcPr>
          <w:p w14:paraId="664C9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kern w:val="2"/>
                <w:szCs w:val="21"/>
                <w:u w:val="none" w:color="auto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停止研究相关的干预，研究仅是对受试者的跟踪随访</w:t>
            </w:r>
          </w:p>
        </w:tc>
      </w:tr>
      <w:tr w14:paraId="6CA56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2" w:type="dxa"/>
            <w:vAlign w:val="center"/>
          </w:tcPr>
          <w:p w14:paraId="1DBE3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</w:p>
        </w:tc>
        <w:tc>
          <w:tcPr>
            <w:tcW w:w="8309" w:type="dxa"/>
            <w:vAlign w:val="center"/>
          </w:tcPr>
          <w:p w14:paraId="2B14C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color w:val="010101"/>
                <w:spacing w:val="-1"/>
                <w:sz w:val="38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（本中心）没有受试者入组，且未发现额外风险</w:t>
            </w:r>
          </w:p>
        </w:tc>
      </w:tr>
    </w:tbl>
    <w:tbl>
      <w:tblPr>
        <w:tblStyle w:val="6"/>
        <w:tblpPr w:leftFromText="180" w:rightFromText="180" w:vertAnchor="text" w:horzAnchor="page" w:tblpX="1417" w:tblpY="542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1D972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71" w:type="dxa"/>
            <w:vAlign w:val="center"/>
          </w:tcPr>
          <w:p w14:paraId="54F0D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Times New Roman" w:hAnsi="Times New Roman" w:eastAsia="宋体"/>
                <w:kern w:val="2"/>
                <w:szCs w:val="21"/>
                <w:u w:val="none" w:color="auto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是否通知受试者终止或暂停研究的事项：</w:t>
            </w: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否，</w:t>
            </w: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是</w:t>
            </w:r>
            <w:r>
              <w:rPr>
                <w:rFonts w:hint="default" w:hAnsi="宋体"/>
                <w:kern w:val="2"/>
                <w:sz w:val="21"/>
                <w:szCs w:val="21"/>
                <w:lang w:val="en-US" w:eastAsia="zh-CN"/>
              </w:rPr>
              <w:t>→</w:t>
            </w:r>
          </w:p>
        </w:tc>
      </w:tr>
      <w:tr w14:paraId="0AF1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71" w:type="dxa"/>
            <w:vAlign w:val="center"/>
          </w:tcPr>
          <w:p w14:paraId="1B9CC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通知的对象：</w:t>
            </w: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已入组的全部受试者，</w:t>
            </w: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仅在研的受试者</w:t>
            </w:r>
          </w:p>
        </w:tc>
      </w:tr>
    </w:tbl>
    <w:p w14:paraId="250076E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b/>
          <w:bCs w:val="0"/>
          <w:kern w:val="2"/>
          <w:sz w:val="28"/>
          <w:szCs w:val="28"/>
          <w:lang w:eastAsia="zh-CN"/>
        </w:rPr>
      </w:pPr>
    </w:p>
    <w:p w14:paraId="50562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hAnsi="宋体"/>
          <w:b/>
          <w:bCs w:val="0"/>
          <w:kern w:val="2"/>
          <w:sz w:val="21"/>
          <w:szCs w:val="21"/>
          <w:lang w:eastAsia="zh-CN"/>
        </w:rPr>
      </w:pPr>
      <w:r>
        <w:rPr>
          <w:rFonts w:hint="eastAsia" w:hAnsi="宋体"/>
          <w:b/>
          <w:bCs w:val="0"/>
          <w:kern w:val="2"/>
          <w:sz w:val="21"/>
          <w:szCs w:val="21"/>
          <w:lang w:eastAsia="zh-CN"/>
        </w:rPr>
        <w:t>二、暂停</w:t>
      </w:r>
      <w:r>
        <w:rPr>
          <w:rFonts w:hint="eastAsia" w:hAnsi="宋体"/>
          <w:b/>
          <w:bCs w:val="0"/>
          <w:kern w:val="2"/>
          <w:sz w:val="21"/>
          <w:szCs w:val="21"/>
          <w:lang w:val="en-US" w:eastAsia="zh-CN"/>
        </w:rPr>
        <w:t>/</w:t>
      </w:r>
      <w:r>
        <w:rPr>
          <w:rFonts w:hint="eastAsia" w:hAnsi="宋体"/>
          <w:b/>
          <w:bCs w:val="0"/>
          <w:kern w:val="2"/>
          <w:sz w:val="21"/>
          <w:szCs w:val="21"/>
          <w:lang w:eastAsia="zh-CN"/>
        </w:rPr>
        <w:t>终止研究的原因</w:t>
      </w:r>
    </w:p>
    <w:tbl>
      <w:tblPr>
        <w:tblStyle w:val="6"/>
        <w:tblW w:w="49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7"/>
      </w:tblGrid>
      <w:tr w14:paraId="303D0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9538" w:type="dxa"/>
            <w:vAlign w:val="center"/>
          </w:tcPr>
          <w:p w14:paraId="0A336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Times New Roman" w:hAnsi="Times New Roman" w:eastAsia="宋体"/>
                <w:kern w:val="2"/>
                <w:szCs w:val="21"/>
                <w:u w:val="none" w:color="auto"/>
              </w:rPr>
            </w:pPr>
          </w:p>
        </w:tc>
      </w:tr>
    </w:tbl>
    <w:p w14:paraId="6FC49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hAnsi="宋体"/>
          <w:kern w:val="2"/>
          <w:sz w:val="21"/>
          <w:szCs w:val="21"/>
          <w:lang w:eastAsia="zh-CN"/>
        </w:rPr>
      </w:pPr>
    </w:p>
    <w:p w14:paraId="55055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hAnsi="宋体"/>
          <w:b/>
          <w:bCs/>
          <w:kern w:val="2"/>
          <w:sz w:val="21"/>
          <w:szCs w:val="21"/>
          <w:lang w:eastAsia="zh-CN"/>
        </w:rPr>
      </w:pPr>
      <w:r>
        <w:rPr>
          <w:rFonts w:hint="eastAsia" w:hAnsi="宋体"/>
          <w:b/>
          <w:bCs/>
          <w:kern w:val="2"/>
          <w:sz w:val="21"/>
          <w:szCs w:val="21"/>
          <w:lang w:eastAsia="zh-CN"/>
        </w:rPr>
        <w:t>三、有序暂停</w:t>
      </w:r>
      <w:r>
        <w:rPr>
          <w:rFonts w:hint="eastAsia" w:hAnsi="宋体"/>
          <w:b/>
          <w:bCs/>
          <w:kern w:val="2"/>
          <w:sz w:val="21"/>
          <w:szCs w:val="21"/>
          <w:lang w:val="en-US" w:eastAsia="zh-CN"/>
        </w:rPr>
        <w:t>/</w:t>
      </w:r>
      <w:r>
        <w:rPr>
          <w:rFonts w:hint="eastAsia" w:hAnsi="宋体"/>
          <w:b/>
          <w:bCs/>
          <w:kern w:val="2"/>
          <w:sz w:val="21"/>
          <w:szCs w:val="21"/>
          <w:lang w:eastAsia="zh-CN"/>
        </w:rPr>
        <w:t>终止研究的程序</w:t>
      </w:r>
    </w:p>
    <w:p w14:paraId="4B310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hAnsi="宋体"/>
          <w:kern w:val="2"/>
          <w:sz w:val="21"/>
          <w:szCs w:val="21"/>
          <w:lang w:val="en-US" w:eastAsia="zh-CN"/>
        </w:rPr>
      </w:pPr>
      <w:r>
        <w:rPr>
          <w:rFonts w:hint="eastAsia" w:hAnsi="宋体"/>
          <w:kern w:val="2"/>
          <w:sz w:val="21"/>
          <w:szCs w:val="21"/>
          <w:lang w:val="en-US" w:eastAsia="zh-CN"/>
        </w:rPr>
        <w:t>1、受试者的安全监测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54E13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71" w:type="dxa"/>
            <w:vAlign w:val="center"/>
          </w:tcPr>
          <w:p w14:paraId="6534A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宋体"/>
                <w:kern w:val="2"/>
                <w:szCs w:val="21"/>
                <w:u w:val="none" w:color="auto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安全监测对象</w:t>
            </w:r>
          </w:p>
        </w:tc>
      </w:tr>
      <w:tr w14:paraId="568D4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71" w:type="dxa"/>
            <w:vAlign w:val="center"/>
          </w:tcPr>
          <w:p w14:paraId="1BD2F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已入组的全部受试者，</w:t>
            </w: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仅在研的受试者，</w:t>
            </w: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无需安排退出程序的安全监测</w:t>
            </w:r>
          </w:p>
        </w:tc>
      </w:tr>
    </w:tbl>
    <w:p w14:paraId="1428015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ind w:left="0" w:leftChars="0" w:right="0" w:firstLine="0" w:firstLineChars="0"/>
        <w:jc w:val="left"/>
        <w:textAlignment w:val="auto"/>
        <w:rPr>
          <w:rFonts w:hint="default"/>
          <w:color w:val="010101"/>
          <w:spacing w:val="-5"/>
          <w:lang w:val="en-US" w:eastAsia="zh-CN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1A1C8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9571" w:type="dxa"/>
            <w:vAlign w:val="center"/>
          </w:tcPr>
          <w:p w14:paraId="54D9A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安全性监测的指标与频率</w:t>
            </w:r>
          </w:p>
        </w:tc>
      </w:tr>
      <w:tr w14:paraId="66CF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71" w:type="dxa"/>
            <w:vAlign w:val="center"/>
          </w:tcPr>
          <w:p w14:paraId="2869F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</w:p>
        </w:tc>
      </w:tr>
    </w:tbl>
    <w:p w14:paraId="75EA51A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ind w:left="0" w:leftChars="0" w:right="0" w:firstLine="0" w:firstLineChars="0"/>
        <w:jc w:val="left"/>
        <w:textAlignment w:val="auto"/>
        <w:rPr>
          <w:rFonts w:hint="default"/>
          <w:color w:val="010101"/>
          <w:spacing w:val="-5"/>
          <w:lang w:val="en-US" w:eastAsia="zh-CN"/>
        </w:rPr>
      </w:pPr>
    </w:p>
    <w:p w14:paraId="69BE6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hAnsi="宋体"/>
          <w:kern w:val="2"/>
          <w:sz w:val="21"/>
          <w:szCs w:val="21"/>
          <w:lang w:eastAsia="zh-CN"/>
        </w:rPr>
      </w:pPr>
      <w:r>
        <w:rPr>
          <w:rFonts w:hint="eastAsia" w:hAnsi="宋体"/>
          <w:kern w:val="2"/>
          <w:sz w:val="21"/>
          <w:szCs w:val="21"/>
          <w:lang w:val="en-US" w:eastAsia="zh-CN"/>
        </w:rPr>
        <w:t>2、</w:t>
      </w:r>
      <w:r>
        <w:rPr>
          <w:rFonts w:hint="eastAsia" w:hAnsi="宋体"/>
          <w:kern w:val="2"/>
          <w:sz w:val="21"/>
          <w:szCs w:val="21"/>
          <w:lang w:eastAsia="zh-CN"/>
        </w:rPr>
        <w:t>受试者退出研究后的医疗安排</w:t>
      </w:r>
    </w:p>
    <w:tbl>
      <w:tblPr>
        <w:tblStyle w:val="6"/>
        <w:tblW w:w="49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7"/>
      </w:tblGrid>
      <w:tr w14:paraId="749BA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9538" w:type="dxa"/>
            <w:vAlign w:val="center"/>
          </w:tcPr>
          <w:p w14:paraId="13273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ascii="Times New Roman" w:hAnsi="Times New Roman" w:eastAsia="宋体"/>
                <w:kern w:val="2"/>
                <w:szCs w:val="21"/>
                <w:u w:val="none" w:color="auto"/>
              </w:rPr>
            </w:pPr>
          </w:p>
        </w:tc>
      </w:tr>
    </w:tbl>
    <w:p w14:paraId="1E50F702">
      <w:pPr>
        <w:pStyle w:val="8"/>
        <w:numPr>
          <w:ilvl w:val="0"/>
          <w:numId w:val="0"/>
        </w:numPr>
        <w:tabs>
          <w:tab w:val="left" w:pos="688"/>
        </w:tabs>
        <w:spacing w:before="1" w:after="0" w:line="240" w:lineRule="auto"/>
        <w:ind w:right="0" w:rightChars="0"/>
        <w:jc w:val="left"/>
        <w:rPr>
          <w:rFonts w:hint="eastAsia"/>
          <w:color w:val="010101"/>
          <w:spacing w:val="-5"/>
          <w:lang w:val="en-US" w:eastAsia="zh-CN"/>
        </w:rPr>
      </w:pPr>
    </w:p>
    <w:p w14:paraId="05BEC51D">
      <w:pPr>
        <w:pStyle w:val="8"/>
        <w:numPr>
          <w:ilvl w:val="0"/>
          <w:numId w:val="0"/>
        </w:numPr>
        <w:tabs>
          <w:tab w:val="left" w:pos="688"/>
        </w:tabs>
        <w:spacing w:before="1" w:after="0" w:line="240" w:lineRule="auto"/>
        <w:ind w:right="0" w:rightChars="0"/>
        <w:jc w:val="left"/>
        <w:rPr>
          <w:rFonts w:hint="eastAsia"/>
          <w:color w:val="010101"/>
          <w:spacing w:val="-5"/>
          <w:lang w:val="en-US" w:eastAsia="zh-CN"/>
        </w:rPr>
      </w:pPr>
    </w:p>
    <w:p w14:paraId="1539F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hAnsi="宋体"/>
          <w:kern w:val="2"/>
          <w:sz w:val="21"/>
          <w:szCs w:val="21"/>
          <w:lang w:eastAsia="zh-CN"/>
        </w:rPr>
      </w:pPr>
      <w:r>
        <w:rPr>
          <w:rFonts w:hint="eastAsia" w:hAnsi="宋体"/>
          <w:kern w:val="2"/>
          <w:sz w:val="21"/>
          <w:szCs w:val="21"/>
          <w:lang w:val="en-US" w:eastAsia="zh-CN"/>
        </w:rPr>
        <w:t>3、</w:t>
      </w:r>
      <w:r>
        <w:rPr>
          <w:rFonts w:hint="eastAsia" w:hAnsi="宋体"/>
          <w:kern w:val="2"/>
          <w:sz w:val="21"/>
          <w:szCs w:val="21"/>
          <w:lang w:eastAsia="zh-CN"/>
        </w:rPr>
        <w:t>继续完成研究干预的受试者，后续的其他安排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591BC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71" w:type="dxa"/>
            <w:vAlign w:val="center"/>
          </w:tcPr>
          <w:p w14:paraId="18D8E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是否重新获得受试者继续参加研究的知情同意：</w:t>
            </w: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是，</w:t>
            </w: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否</w:t>
            </w:r>
          </w:p>
        </w:tc>
      </w:tr>
      <w:tr w14:paraId="60490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71" w:type="dxa"/>
            <w:vAlign w:val="center"/>
          </w:tcPr>
          <w:p w14:paraId="10ED2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是否将受试者转给其他研究人员，在独立的监督下继续研究：</w:t>
            </w: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是，</w:t>
            </w: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否</w:t>
            </w:r>
          </w:p>
        </w:tc>
      </w:tr>
      <w:tr w14:paraId="786BC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71" w:type="dxa"/>
            <w:vAlign w:val="center"/>
          </w:tcPr>
          <w:p w14:paraId="291AA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其他后续安排：</w:t>
            </w:r>
          </w:p>
          <w:p w14:paraId="15CE3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</w:p>
          <w:p w14:paraId="2D4AD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</w:p>
          <w:p w14:paraId="0A943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</w:pPr>
          </w:p>
        </w:tc>
      </w:tr>
    </w:tbl>
    <w:p w14:paraId="072BE78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ind w:left="0" w:leftChars="0" w:right="0" w:firstLine="0" w:firstLineChars="0"/>
        <w:jc w:val="left"/>
        <w:textAlignment w:val="auto"/>
        <w:rPr>
          <w:rFonts w:hint="default"/>
          <w:color w:val="010101"/>
          <w:spacing w:val="-5"/>
          <w:lang w:val="en-US" w:eastAsia="zh-CN"/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7396"/>
      </w:tblGrid>
      <w:tr w14:paraId="1A0BC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6" w:type="pct"/>
            <w:vAlign w:val="center"/>
          </w:tcPr>
          <w:p w14:paraId="47B4D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研究者签字</w:t>
            </w:r>
          </w:p>
        </w:tc>
        <w:tc>
          <w:tcPr>
            <w:tcW w:w="3863" w:type="pct"/>
            <w:vAlign w:val="center"/>
          </w:tcPr>
          <w:p w14:paraId="58AB5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</w:p>
        </w:tc>
      </w:tr>
      <w:tr w14:paraId="46A0B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6" w:type="pct"/>
            <w:vAlign w:val="center"/>
          </w:tcPr>
          <w:p w14:paraId="4E99E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日期</w:t>
            </w:r>
          </w:p>
        </w:tc>
        <w:tc>
          <w:tcPr>
            <w:tcW w:w="3863" w:type="pct"/>
            <w:vAlign w:val="center"/>
          </w:tcPr>
          <w:p w14:paraId="6D2C0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ind w:firstLine="1260" w:firstLineChars="600"/>
              <w:jc w:val="left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  <w:r>
              <w:rPr>
                <w:rFonts w:hint="eastAsia"/>
                <w:kern w:val="2"/>
                <w:szCs w:val="21"/>
                <w:lang w:eastAsia="zh-CN"/>
              </w:rPr>
              <w:t>年</w:t>
            </w:r>
            <w:r>
              <w:rPr>
                <w:rFonts w:hint="eastAsia"/>
                <w:kern w:val="2"/>
                <w:szCs w:val="21"/>
                <w:lang w:val="en-US" w:eastAsia="zh-CN"/>
              </w:rPr>
              <w:t xml:space="preserve">    月    日</w:t>
            </w:r>
          </w:p>
        </w:tc>
      </w:tr>
    </w:tbl>
    <w:p w14:paraId="6997781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ind w:left="0" w:leftChars="0" w:right="0" w:firstLine="0" w:firstLineChars="0"/>
        <w:jc w:val="both"/>
        <w:textAlignment w:val="auto"/>
        <w:rPr>
          <w:rFonts w:hint="eastAsia" w:ascii="Times New Roman" w:hAnsi="Times New Roman" w:eastAsia="宋体" w:cs="Times New Roman"/>
          <w:b/>
          <w:bCs w:val="0"/>
          <w:kern w:val="2"/>
          <w:sz w:val="28"/>
          <w:szCs w:val="28"/>
          <w:lang w:eastAsia="zh-CN"/>
        </w:rPr>
      </w:pPr>
    </w:p>
    <w:sectPr>
      <w:headerReference r:id="rId3" w:type="default"/>
      <w:footerReference r:id="rId4" w:type="default"/>
      <w:pgSz w:w="11906" w:h="16838"/>
      <w:pgMar w:top="1417" w:right="1134" w:bottom="1134" w:left="1417" w:header="1134" w:footer="850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8EC74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2AD74A">
                          <w:pPr>
                            <w:pStyle w:val="4"/>
                            <w:jc w:val="center"/>
                          </w:pPr>
                          <w:r>
                            <w:rPr>
                              <w:rFonts w:hint="eastAsia" w:ascii="Times New Roman" w:hAnsi="Times New Roman"/>
                              <w:lang w:val="zh-CN"/>
                            </w:rPr>
                            <w:t>____</w:t>
                          </w:r>
                          <w:r>
                            <w:rPr>
                              <w:rFonts w:ascii="Times New Roman" w:hAnsi="Times New Roman"/>
                              <w:lang w:val="zh-CN"/>
                            </w:rPr>
                            <w:t xml:space="preserve"> / </w:t>
                          </w:r>
                          <w:r>
                            <w:rPr>
                              <w:rFonts w:hint="eastAsia" w:ascii="Times New Roman" w:hAnsi="Times New Roman"/>
                              <w:lang w:val="zh-CN"/>
                            </w:rPr>
                            <w:t>____</w:t>
                          </w:r>
                        </w:p>
                        <w:p w14:paraId="21504DE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2AD74A">
                    <w:pPr>
                      <w:pStyle w:val="4"/>
                      <w:jc w:val="center"/>
                    </w:pPr>
                    <w:r>
                      <w:rPr>
                        <w:rFonts w:hint="eastAsia" w:ascii="Times New Roman" w:hAnsi="Times New Roman"/>
                        <w:lang w:val="zh-CN"/>
                      </w:rPr>
                      <w:t>____</w:t>
                    </w:r>
                    <w:r>
                      <w:rPr>
                        <w:rFonts w:ascii="Times New Roman" w:hAnsi="Times New Roman"/>
                        <w:lang w:val="zh-CN"/>
                      </w:rPr>
                      <w:t xml:space="preserve"> / </w:t>
                    </w:r>
                    <w:r>
                      <w:rPr>
                        <w:rFonts w:hint="eastAsia" w:ascii="Times New Roman" w:hAnsi="Times New Roman"/>
                        <w:lang w:val="zh-CN"/>
                      </w:rPr>
                      <w:t>____</w:t>
                    </w:r>
                  </w:p>
                  <w:p w14:paraId="21504DEE"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C21E32">
    <w:pPr>
      <w:pStyle w:val="5"/>
      <w:pBdr>
        <w:bottom w:val="single" w:color="auto" w:sz="4" w:space="1"/>
      </w:pBdr>
      <w:rPr>
        <w:rFonts w:hint="eastAsia"/>
        <w:lang w:eastAsia="zh-CN"/>
      </w:rPr>
    </w:pPr>
    <w:r>
      <w:rPr>
        <w:rFonts w:hint="eastAsia" w:ascii="宋体" w:hAnsi="宋体"/>
        <w:lang w:eastAsia="zh-CN"/>
      </w:rPr>
      <w:t>暂停</w:t>
    </w:r>
    <w:r>
      <w:rPr>
        <w:rFonts w:hint="eastAsia" w:ascii="宋体" w:hAnsi="宋体"/>
        <w:lang w:val="en-US" w:eastAsia="zh-CN"/>
      </w:rPr>
      <w:t>/终止研究报告</w:t>
    </w:r>
    <w:r>
      <w:rPr>
        <w:rFonts w:ascii="宋体" w:hAnsi="宋体" w:eastAsia="宋体"/>
      </w:rPr>
      <w:ptab w:relativeTo="margin" w:alignment="right" w:leader="none"/>
    </w:r>
    <w:r>
      <w:rPr>
        <w:rFonts w:hint="eastAsia"/>
        <w:b w:val="0"/>
        <w:bCs/>
        <w:sz w:val="18"/>
        <w:szCs w:val="18"/>
        <w:lang w:val="en-US" w:eastAsia="zh-CN"/>
      </w:rPr>
      <w:t>ZJYY-LL-AF/SOP13-01-2.0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83511"/>
    <w:rsid w:val="04A83511"/>
    <w:rsid w:val="07093737"/>
    <w:rsid w:val="1E9A675D"/>
    <w:rsid w:val="20560CA8"/>
    <w:rsid w:val="34581DD5"/>
    <w:rsid w:val="387325B7"/>
    <w:rsid w:val="3E6F2A4B"/>
    <w:rsid w:val="49B854B0"/>
    <w:rsid w:val="599F3E0F"/>
    <w:rsid w:val="5E5225BD"/>
    <w:rsid w:val="5EA75048"/>
    <w:rsid w:val="5FA005F2"/>
    <w:rsid w:val="63C00461"/>
    <w:rsid w:val="7B904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