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13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偏离方案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报告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7777"/>
      </w:tblGrid>
      <w:tr w14:paraId="27FDF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685CD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项目名称</w:t>
            </w:r>
          </w:p>
        </w:tc>
        <w:tc>
          <w:tcPr>
            <w:tcW w:w="6741" w:type="dxa"/>
            <w:vAlign w:val="center"/>
          </w:tcPr>
          <w:p w14:paraId="4C425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1DCC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55959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项目来源</w:t>
            </w:r>
          </w:p>
        </w:tc>
        <w:tc>
          <w:tcPr>
            <w:tcW w:w="6741" w:type="dxa"/>
            <w:vAlign w:val="center"/>
          </w:tcPr>
          <w:p w14:paraId="65F5B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636B0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3F34E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专业科室</w:t>
            </w:r>
          </w:p>
        </w:tc>
        <w:tc>
          <w:tcPr>
            <w:tcW w:w="6741" w:type="dxa"/>
            <w:vAlign w:val="center"/>
          </w:tcPr>
          <w:p w14:paraId="6C1E5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4F9D0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1C9D0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研究者</w:t>
            </w:r>
          </w:p>
        </w:tc>
        <w:tc>
          <w:tcPr>
            <w:tcW w:w="6741" w:type="dxa"/>
            <w:vAlign w:val="center"/>
          </w:tcPr>
          <w:p w14:paraId="7D08A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559DD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36C2D465">
      <w:pPr>
        <w:pStyle w:val="3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一、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偏离方案的类别</w:t>
      </w:r>
    </w:p>
    <w:bookmarkEnd w:id="0"/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8595"/>
      </w:tblGrid>
      <w:tr w14:paraId="3643C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45E95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23816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为消除对受试者的紧急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危害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，在伦理委员会同意前，研究者偏离方案</w:t>
            </w:r>
          </w:p>
        </w:tc>
      </w:tr>
    </w:tbl>
    <w:p w14:paraId="3F1B4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8595"/>
      </w:tblGrid>
      <w:tr w14:paraId="28A70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6D081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6BAB6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研究纳入了不符合纳入标准或符合排除标准的受试者</w:t>
            </w:r>
          </w:p>
        </w:tc>
      </w:tr>
      <w:tr w14:paraId="4369C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660A8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3E0E3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符合终止试验规定而未让受试者退出研究</w:t>
            </w:r>
          </w:p>
        </w:tc>
      </w:tr>
      <w:tr w14:paraId="7D14C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42621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48338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给予错误的治疗或剂量</w:t>
            </w:r>
          </w:p>
        </w:tc>
      </w:tr>
      <w:tr w14:paraId="32EE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12F73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319EC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给予方案禁止的合并用药</w:t>
            </w:r>
          </w:p>
        </w:tc>
      </w:tr>
      <w:tr w14:paraId="1225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1B524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3FBB5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可能对受试者的权益和安全造成显著影响的情况</w:t>
            </w:r>
          </w:p>
        </w:tc>
      </w:tr>
      <w:tr w14:paraId="1545A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6F0E8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1BE40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可能对研究的科学性造成显著影响的情况</w:t>
            </w:r>
          </w:p>
        </w:tc>
      </w:tr>
      <w:tr w14:paraId="611A5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6FF93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45C99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同一研究人员的同一偏离方案行为在被要求纠正后，再次发生</w:t>
            </w:r>
          </w:p>
        </w:tc>
      </w:tr>
      <w:tr w14:paraId="75164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5D531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5837F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研究人员不配合监查/稽查</w:t>
            </w:r>
          </w:p>
        </w:tc>
      </w:tr>
      <w:tr w14:paraId="62C19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64B84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0CC0F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研究人员对偏离方案事件不予以纠正</w:t>
            </w:r>
          </w:p>
        </w:tc>
      </w:tr>
      <w:tr w14:paraId="7379D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top"/>
          </w:tcPr>
          <w:p w14:paraId="4B69A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7450" w:type="dxa"/>
            <w:vAlign w:val="top"/>
          </w:tcPr>
          <w:p w14:paraId="2FDE0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其他：</w:t>
            </w:r>
          </w:p>
        </w:tc>
      </w:tr>
    </w:tbl>
    <w:p w14:paraId="4A90C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</w:p>
    <w:p w14:paraId="09BA4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二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、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偏离方案事件的描述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4F60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vAlign w:val="top"/>
          </w:tcPr>
          <w:p w14:paraId="6CC17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55D4F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66F13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 w14:paraId="73225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2A671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三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、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对偏离方案采取的纠正措施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356C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vAlign w:val="top"/>
          </w:tcPr>
          <w:p w14:paraId="2A987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25863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59039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4DF79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7E8D4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7287"/>
      </w:tblGrid>
      <w:tr w14:paraId="3808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pct"/>
            <w:vAlign w:val="top"/>
          </w:tcPr>
          <w:p w14:paraId="4556C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研究者签字</w:t>
            </w:r>
          </w:p>
        </w:tc>
        <w:tc>
          <w:tcPr>
            <w:tcW w:w="3807" w:type="pct"/>
            <w:vAlign w:val="top"/>
          </w:tcPr>
          <w:p w14:paraId="2E596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70B5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pct"/>
            <w:vAlign w:val="top"/>
          </w:tcPr>
          <w:p w14:paraId="3C0DE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日期</w:t>
            </w:r>
          </w:p>
        </w:tc>
        <w:tc>
          <w:tcPr>
            <w:tcW w:w="3807" w:type="pct"/>
            <w:vAlign w:val="top"/>
          </w:tcPr>
          <w:p w14:paraId="7D52E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年    月    日</w:t>
            </w:r>
          </w:p>
        </w:tc>
      </w:tr>
    </w:tbl>
    <w:p w14:paraId="21911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17" w:right="1134" w:bottom="1134" w:left="1417" w:header="1134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CD6D8D">
    <w:pPr>
      <w:pStyle w:val="11"/>
      <w:jc w:val="center"/>
    </w:pPr>
    <w:r>
      <w:rPr>
        <w:rFonts w:hint="eastAsia" w:ascii="Times New Roman" w:hAnsi="Times New Roman"/>
        <w:lang w:val="zh-CN"/>
      </w:rPr>
      <w:t>___</w:t>
    </w:r>
    <w:r>
      <w:rPr>
        <w:rFonts w:ascii="Times New Roman" w:hAnsi="Times New Roman"/>
        <w:lang w:val="zh-CN"/>
      </w:rPr>
      <w:t xml:space="preserve"> / </w:t>
    </w:r>
    <w:r>
      <w:rPr>
        <w:rFonts w:hint="eastAsia" w:ascii="Times New Roman" w:hAnsi="Times New Roman"/>
        <w:lang w:val="zh-CN"/>
      </w:rPr>
      <w:t>___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FA753">
    <w:pPr>
      <w:pStyle w:val="12"/>
      <w:pBdr>
        <w:bottom w:val="single" w:color="auto" w:sz="4" w:space="0"/>
      </w:pBdr>
      <w:jc w:val="left"/>
      <w:rPr>
        <w:rFonts w:hint="default" w:ascii="宋体" w:hAnsi="宋体" w:eastAsia="宋体" w:cs="宋体"/>
        <w:lang w:val="en-US" w:eastAsia="zh-CN"/>
      </w:rPr>
    </w:pPr>
    <w:r>
      <w:rPr>
        <w:rFonts w:hint="eastAsia" w:ascii="宋体" w:hAnsi="宋体" w:eastAsia="宋体" w:cs="宋体"/>
        <w:lang w:eastAsia="zh-CN"/>
      </w:rPr>
      <w:t>偏离方案报告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ptab w:relativeTo="margin" w:alignment="right" w:leader="none"/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ZJYY-LL-AF/SOP</w:t>
    </w:r>
    <w:r>
      <w:rPr>
        <w:rFonts w:hint="eastAsia" w:ascii="Times New Roman" w:hAnsi="Times New Roman" w:cs="Times New Roman"/>
        <w:b w:val="0"/>
        <w:bCs/>
        <w:sz w:val="18"/>
        <w:szCs w:val="18"/>
        <w:lang w:val="en-US" w:eastAsia="zh-CN"/>
      </w:rPr>
      <w:t>12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-0</w:t>
    </w:r>
    <w:r>
      <w:rPr>
        <w:rFonts w:hint="eastAsia" w:ascii="Times New Roman" w:hAnsi="Times New Roman" w:cs="Times New Roman"/>
        <w:b w:val="0"/>
        <w:bCs/>
        <w:sz w:val="18"/>
        <w:szCs w:val="18"/>
        <w:lang w:val="en-US" w:eastAsia="zh-CN"/>
      </w:rPr>
      <w:t>1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-2.0</w:t>
    </w:r>
  </w:p>
  <w:p w14:paraId="308505D5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78"/>
    <w:rsid w:val="001651D9"/>
    <w:rsid w:val="00267AB2"/>
    <w:rsid w:val="00554628"/>
    <w:rsid w:val="006D7578"/>
    <w:rsid w:val="007136A8"/>
    <w:rsid w:val="00761278"/>
    <w:rsid w:val="00785C08"/>
    <w:rsid w:val="0083136E"/>
    <w:rsid w:val="00963368"/>
    <w:rsid w:val="0097483F"/>
    <w:rsid w:val="009E6D3B"/>
    <w:rsid w:val="00BD35A2"/>
    <w:rsid w:val="00C52C17"/>
    <w:rsid w:val="00D95053"/>
    <w:rsid w:val="00DC33CA"/>
    <w:rsid w:val="00F11987"/>
    <w:rsid w:val="00F37CCF"/>
    <w:rsid w:val="00FE7E1B"/>
    <w:rsid w:val="0C39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